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A9" w:rsidRPr="002D45AC" w:rsidRDefault="00F347A9" w:rsidP="00F347A9">
      <w:pPr>
        <w:pStyle w:val="Nagwek2"/>
        <w:jc w:val="center"/>
        <w:rPr>
          <w:rFonts w:ascii="Arial" w:hAnsi="Arial" w:cs="Arial"/>
          <w:b w:val="0"/>
          <w:sz w:val="28"/>
          <w:szCs w:val="28"/>
        </w:rPr>
      </w:pPr>
      <w:r w:rsidRPr="002D45AC">
        <w:rPr>
          <w:rStyle w:val="Nagwek2Znak"/>
          <w:rFonts w:ascii="Arial" w:hAnsi="Arial" w:cs="Arial"/>
          <w:b/>
          <w:sz w:val="28"/>
          <w:szCs w:val="28"/>
        </w:rPr>
        <w:t>Program praktyki zawodowej w ramach kwalifikacyjnego kur</w:t>
      </w:r>
      <w:r>
        <w:rPr>
          <w:rStyle w:val="Nagwek2Znak"/>
          <w:rFonts w:ascii="Arial" w:hAnsi="Arial" w:cs="Arial"/>
          <w:b/>
          <w:sz w:val="28"/>
          <w:szCs w:val="28"/>
        </w:rPr>
        <w:t>su z</w:t>
      </w:r>
      <w:r w:rsidR="00283082">
        <w:rPr>
          <w:rStyle w:val="Nagwek2Znak"/>
          <w:rFonts w:ascii="Arial" w:hAnsi="Arial" w:cs="Arial"/>
          <w:b/>
          <w:sz w:val="28"/>
          <w:szCs w:val="28"/>
        </w:rPr>
        <w:t xml:space="preserve">awodowego z kwalifikacji </w:t>
      </w:r>
      <w:r w:rsidR="00283082">
        <w:rPr>
          <w:rStyle w:val="Nagwek2Znak"/>
          <w:rFonts w:ascii="Arial" w:hAnsi="Arial" w:cs="Arial"/>
          <w:b/>
          <w:sz w:val="28"/>
          <w:szCs w:val="28"/>
        </w:rPr>
        <w:br/>
        <w:t>ELM.03</w:t>
      </w:r>
      <w:r w:rsidRPr="002D45AC">
        <w:rPr>
          <w:rStyle w:val="Nagwek2Znak"/>
          <w:rFonts w:ascii="Arial" w:hAnsi="Arial" w:cs="Arial"/>
          <w:b/>
          <w:sz w:val="28"/>
          <w:szCs w:val="28"/>
        </w:rPr>
        <w:t xml:space="preserve">. </w:t>
      </w:r>
      <w:r w:rsidR="00283082">
        <w:rPr>
          <w:rFonts w:ascii="Arial" w:hAnsi="Arial" w:cs="Arial"/>
          <w:sz w:val="28"/>
          <w:szCs w:val="28"/>
          <w:shd w:val="clear" w:color="auto" w:fill="FFFFFF"/>
        </w:rPr>
        <w:t>Montaż, uruchamianie i konserwacja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urządzeń i systemów mechatronicznych</w:t>
      </w:r>
    </w:p>
    <w:p w:rsidR="003752FD" w:rsidRDefault="003752FD" w:rsidP="003752F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</w:rPr>
      </w:pPr>
    </w:p>
    <w:p w:rsidR="00283082" w:rsidRDefault="00283082" w:rsidP="003752F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</w:rPr>
      </w:pPr>
    </w:p>
    <w:p w:rsidR="00283082" w:rsidRPr="00283082" w:rsidRDefault="00283082" w:rsidP="002830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83082">
        <w:rPr>
          <w:rFonts w:ascii="Arial" w:eastAsia="Calibri" w:hAnsi="Arial" w:cs="Arial"/>
          <w:b/>
          <w:bCs/>
          <w:color w:val="000000"/>
          <w:sz w:val="20"/>
          <w:szCs w:val="20"/>
        </w:rPr>
        <w:t>Cele ogólne przedmiotu to:</w:t>
      </w:r>
    </w:p>
    <w:p w:rsidR="00283082" w:rsidRDefault="00283082" w:rsidP="0028308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>Kształtowanie umiejętności obsługi urządzeń i systemów mechatronicznych</w:t>
      </w:r>
    </w:p>
    <w:p w:rsidR="00283082" w:rsidRDefault="00283082" w:rsidP="0028308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>Kształtowanie umiejętności konserwacji urządzeń i systemów mechatronicznych</w:t>
      </w:r>
    </w:p>
    <w:p w:rsidR="00283082" w:rsidRDefault="00283082" w:rsidP="0028308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>Kształtowanie umiejętności diagnostyki urządzeń i systemów mechatronicznych</w:t>
      </w:r>
    </w:p>
    <w:p w:rsidR="00283082" w:rsidRDefault="00283082" w:rsidP="0028308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>Kształtowanie umiejętności pracy w zespole</w:t>
      </w:r>
    </w:p>
    <w:p w:rsidR="00283082" w:rsidRPr="00AF320E" w:rsidRDefault="00283082" w:rsidP="0028308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AF320E">
        <w:rPr>
          <w:rFonts w:ascii="Arial" w:eastAsia="Calibri" w:hAnsi="Arial" w:cs="Arial"/>
          <w:bCs/>
          <w:color w:val="000000"/>
          <w:sz w:val="20"/>
          <w:szCs w:val="20"/>
        </w:rPr>
        <w:t>Kształtowanie umiejętności pracy w zespole</w:t>
      </w:r>
    </w:p>
    <w:p w:rsidR="00283082" w:rsidRPr="005B66DE" w:rsidRDefault="00283082" w:rsidP="002830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283082" w:rsidRPr="00283082" w:rsidRDefault="00283082" w:rsidP="002830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83082">
        <w:rPr>
          <w:rFonts w:ascii="Arial" w:eastAsia="Calibri" w:hAnsi="Arial" w:cs="Arial"/>
          <w:b/>
          <w:bCs/>
          <w:color w:val="000000"/>
          <w:sz w:val="20"/>
          <w:szCs w:val="20"/>
        </w:rPr>
        <w:t>Cele szczegółowe przedmiotu to:</w:t>
      </w:r>
    </w:p>
    <w:p w:rsidR="00283082" w:rsidRPr="0052625B" w:rsidRDefault="00283082" w:rsidP="00283082">
      <w:pPr>
        <w:pStyle w:val="Default"/>
        <w:numPr>
          <w:ilvl w:val="0"/>
          <w:numId w:val="14"/>
        </w:numPr>
        <w:spacing w:line="23" w:lineRule="atLeast"/>
        <w:ind w:left="284" w:hanging="284"/>
        <w:rPr>
          <w:sz w:val="20"/>
          <w:szCs w:val="20"/>
        </w:rPr>
      </w:pPr>
      <w:r w:rsidRPr="0052625B">
        <w:rPr>
          <w:sz w:val="20"/>
          <w:szCs w:val="20"/>
        </w:rPr>
        <w:t xml:space="preserve">odczytać dane znamionowe </w:t>
      </w:r>
      <w:r>
        <w:rPr>
          <w:sz w:val="20"/>
          <w:szCs w:val="20"/>
        </w:rPr>
        <w:t xml:space="preserve">elementów, podzespołów i zespołów elektrycznych, elektronicznych, pneumatycznych i hydraulicznych </w:t>
      </w:r>
      <w:r w:rsidRPr="0052625B">
        <w:rPr>
          <w:sz w:val="20"/>
          <w:szCs w:val="20"/>
        </w:rPr>
        <w:t>urządzeń</w:t>
      </w:r>
      <w:r>
        <w:rPr>
          <w:sz w:val="20"/>
          <w:szCs w:val="20"/>
        </w:rPr>
        <w:t xml:space="preserve"> i systemów mechatronicznych</w:t>
      </w:r>
    </w:p>
    <w:p w:rsidR="00283082" w:rsidRPr="00DC541B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 w:rsidRPr="00FF1AE2">
        <w:rPr>
          <w:sz w:val="20"/>
          <w:szCs w:val="20"/>
        </w:rPr>
        <w:t xml:space="preserve">określić parametry </w:t>
      </w:r>
      <w:r>
        <w:rPr>
          <w:sz w:val="20"/>
          <w:szCs w:val="20"/>
        </w:rPr>
        <w:t xml:space="preserve">elementów, podzespołów i zespołów elektrycznych, elektronicznych, pneumatycznych i hydraulicznych </w:t>
      </w:r>
      <w:r w:rsidRPr="0052625B">
        <w:rPr>
          <w:sz w:val="20"/>
          <w:szCs w:val="20"/>
        </w:rPr>
        <w:t>urządzeń</w:t>
      </w:r>
      <w:r>
        <w:rPr>
          <w:sz w:val="20"/>
          <w:szCs w:val="20"/>
        </w:rPr>
        <w:t xml:space="preserve"> i systemów mechatronicznych</w:t>
      </w:r>
    </w:p>
    <w:p w:rsidR="00283082" w:rsidRPr="00DC541B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dobierać układ zasilający elementów, podzespołów i zespołów elektrycznych, elektronicznych, pneumatycznych i hydraulicznych </w:t>
      </w:r>
      <w:r w:rsidRPr="0052625B">
        <w:rPr>
          <w:sz w:val="20"/>
          <w:szCs w:val="20"/>
        </w:rPr>
        <w:t>urządzeń</w:t>
      </w:r>
      <w:r>
        <w:rPr>
          <w:sz w:val="20"/>
          <w:szCs w:val="20"/>
        </w:rPr>
        <w:t xml:space="preserve"> i systemów mechatronicznych</w:t>
      </w:r>
    </w:p>
    <w:p w:rsidR="00283082" w:rsidRPr="00DC541B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dobierać zabezpieczenia elementów, podzespołów i zespołów elektrycznych, elektronicznych, pneumatycznych i hydraulicznych </w:t>
      </w:r>
      <w:r w:rsidRPr="0052625B">
        <w:rPr>
          <w:sz w:val="20"/>
          <w:szCs w:val="20"/>
        </w:rPr>
        <w:t>urządzeń</w:t>
      </w:r>
      <w:r>
        <w:rPr>
          <w:sz w:val="20"/>
          <w:szCs w:val="20"/>
        </w:rPr>
        <w:t xml:space="preserve"> i systemów mechatronicznych</w:t>
      </w:r>
    </w:p>
    <w:p w:rsidR="00283082" w:rsidRPr="00DC541B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dobierać parametry pracy elementów, podzespołów i zespołów elektrycznych, elektronicznych, pneumatycznych i hydraulicznych </w:t>
      </w:r>
      <w:r w:rsidRPr="0052625B">
        <w:rPr>
          <w:sz w:val="20"/>
          <w:szCs w:val="20"/>
        </w:rPr>
        <w:t>urządzeń</w:t>
      </w:r>
      <w:r>
        <w:rPr>
          <w:sz w:val="20"/>
          <w:szCs w:val="20"/>
        </w:rPr>
        <w:t xml:space="preserve"> i systemów mechatronicznych</w:t>
      </w:r>
    </w:p>
    <w:p w:rsidR="00283082" w:rsidRPr="00DC541B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dobierać metody sprawdzania elementów, podzespołów i zespołów elektrycznych, elektronicznych, pneumatycznych i hydraulicznych </w:t>
      </w:r>
      <w:r w:rsidRPr="0052625B">
        <w:rPr>
          <w:sz w:val="20"/>
          <w:szCs w:val="20"/>
        </w:rPr>
        <w:t>urządzeń</w:t>
      </w:r>
      <w:r>
        <w:rPr>
          <w:sz w:val="20"/>
          <w:szCs w:val="20"/>
        </w:rPr>
        <w:t xml:space="preserve"> i systemów mechatronicznych</w:t>
      </w:r>
    </w:p>
    <w:p w:rsidR="00283082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planować kolejność prac podczas obsługiwania elementów, podzespołów i zespołów elektrycznych, elektronicznych, pneumatycznych i hydraulicznych </w:t>
      </w:r>
      <w:r w:rsidRPr="0052625B">
        <w:rPr>
          <w:sz w:val="20"/>
          <w:szCs w:val="20"/>
        </w:rPr>
        <w:t>urządzeń</w:t>
      </w:r>
      <w:r>
        <w:rPr>
          <w:sz w:val="20"/>
          <w:szCs w:val="20"/>
        </w:rPr>
        <w:t xml:space="preserve"> i systemów mechatronicznych</w:t>
      </w:r>
    </w:p>
    <w:p w:rsidR="00283082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 w:rsidRPr="00AF320E">
        <w:rPr>
          <w:sz w:val="20"/>
          <w:szCs w:val="20"/>
        </w:rPr>
        <w:t>dobierać sposoby monitorowania pracy urządzeń i systemów  mechatronicznych</w:t>
      </w:r>
    </w:p>
    <w:p w:rsidR="00283082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 w:rsidRPr="00AF320E">
        <w:rPr>
          <w:sz w:val="20"/>
          <w:szCs w:val="20"/>
        </w:rPr>
        <w:t>dobierać metody diagnozowania stanu urządzeń i systemów  mechatronicznych</w:t>
      </w:r>
    </w:p>
    <w:p w:rsidR="00283082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 w:rsidRPr="00AF320E">
        <w:rPr>
          <w:sz w:val="20"/>
          <w:szCs w:val="20"/>
        </w:rPr>
        <w:t>rozróżniać komunikaty urządzeń monitorujących stan pracy systemów i systemów  mechatronicznych</w:t>
      </w:r>
    </w:p>
    <w:p w:rsidR="00283082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 w:rsidRPr="00AF320E">
        <w:rPr>
          <w:sz w:val="20"/>
          <w:szCs w:val="20"/>
        </w:rPr>
        <w:t>dobierać rodzaj przeglądu technicznego urządzeń i systemów  mechatronicznych</w:t>
      </w:r>
    </w:p>
    <w:p w:rsidR="00283082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 w:rsidRPr="00AF320E">
        <w:rPr>
          <w:sz w:val="20"/>
          <w:szCs w:val="20"/>
        </w:rPr>
        <w:t>dobierać przyrządy  do pomiarów fizycznych urządzeń i systemów  mechatronicznych</w:t>
      </w:r>
    </w:p>
    <w:p w:rsidR="00283082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 w:rsidRPr="00AF320E">
        <w:rPr>
          <w:sz w:val="20"/>
          <w:szCs w:val="20"/>
        </w:rPr>
        <w:t>do</w:t>
      </w:r>
      <w:r>
        <w:rPr>
          <w:sz w:val="20"/>
          <w:szCs w:val="20"/>
        </w:rPr>
        <w:t>bierać materiały eksploatacyjne</w:t>
      </w:r>
    </w:p>
    <w:p w:rsidR="00283082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 w:rsidRPr="00AF320E">
        <w:rPr>
          <w:sz w:val="20"/>
          <w:szCs w:val="20"/>
        </w:rPr>
        <w:t xml:space="preserve">dobierać metody konserwacji urządzeń i systemów  </w:t>
      </w:r>
      <w:r>
        <w:rPr>
          <w:sz w:val="20"/>
          <w:szCs w:val="20"/>
        </w:rPr>
        <w:t>mechatronicznych</w:t>
      </w:r>
    </w:p>
    <w:p w:rsidR="00283082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 w:rsidRPr="00AF320E">
        <w:rPr>
          <w:sz w:val="20"/>
          <w:szCs w:val="20"/>
        </w:rPr>
        <w:lastRenderedPageBreak/>
        <w:t xml:space="preserve">monitorować pracę urządzeń i systemów  </w:t>
      </w:r>
      <w:r>
        <w:rPr>
          <w:sz w:val="20"/>
          <w:szCs w:val="20"/>
        </w:rPr>
        <w:t>mechatronicznych</w:t>
      </w:r>
    </w:p>
    <w:p w:rsidR="00283082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 w:rsidRPr="00AF320E">
        <w:rPr>
          <w:sz w:val="20"/>
          <w:szCs w:val="20"/>
        </w:rPr>
        <w:t>diagnozować stan urządzeń i systemów  mechatronicznych</w:t>
      </w:r>
    </w:p>
    <w:p w:rsidR="00283082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 w:rsidRPr="00AF320E">
        <w:rPr>
          <w:sz w:val="20"/>
          <w:szCs w:val="20"/>
        </w:rPr>
        <w:t>czytać komunikaty urządzeń i systemów  mechatronicznych</w:t>
      </w:r>
    </w:p>
    <w:p w:rsidR="00283082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 w:rsidRPr="00AF320E">
        <w:rPr>
          <w:sz w:val="20"/>
          <w:szCs w:val="20"/>
        </w:rPr>
        <w:t>przeprowadzać przegląd techniczny urządzeń i systemów  mechatronicznych</w:t>
      </w:r>
    </w:p>
    <w:p w:rsidR="00283082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 w:rsidRPr="00AF320E">
        <w:rPr>
          <w:sz w:val="20"/>
          <w:szCs w:val="20"/>
        </w:rPr>
        <w:t>przeprowadzać pomiary wielkości fizycznych urządzeń i systemów  mechatronicznych</w:t>
      </w:r>
    </w:p>
    <w:p w:rsidR="00283082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 w:rsidRPr="00AF320E">
        <w:rPr>
          <w:sz w:val="20"/>
          <w:szCs w:val="20"/>
        </w:rPr>
        <w:t>przeprowadzać konserwację urządzeń i systemów  mechatronicznych</w:t>
      </w:r>
    </w:p>
    <w:p w:rsidR="00283082" w:rsidRPr="00AF320E" w:rsidRDefault="00283082" w:rsidP="00283082">
      <w:pPr>
        <w:pStyle w:val="Default"/>
        <w:numPr>
          <w:ilvl w:val="0"/>
          <w:numId w:val="14"/>
        </w:numPr>
        <w:spacing w:line="23" w:lineRule="atLeast"/>
        <w:ind w:left="426" w:hanging="426"/>
        <w:rPr>
          <w:sz w:val="20"/>
          <w:szCs w:val="20"/>
        </w:rPr>
      </w:pPr>
      <w:r w:rsidRPr="00AF320E">
        <w:rPr>
          <w:sz w:val="20"/>
          <w:szCs w:val="20"/>
        </w:rPr>
        <w:t>oceniać jakość przeprowadzonej konserwacji urządzeń i systemów  mechatronicznych</w:t>
      </w:r>
    </w:p>
    <w:p w:rsidR="00283082" w:rsidRDefault="00283082" w:rsidP="00283082">
      <w:pPr>
        <w:pStyle w:val="nag3"/>
        <w:spacing w:line="240" w:lineRule="auto"/>
        <w:jc w:val="both"/>
        <w:rPr>
          <w:rFonts w:cs="Arial"/>
          <w:b w:val="0"/>
          <w:sz w:val="20"/>
        </w:rPr>
      </w:pPr>
    </w:p>
    <w:p w:rsidR="00283082" w:rsidRPr="00D613CB" w:rsidRDefault="00283082" w:rsidP="00283082">
      <w:pPr>
        <w:pStyle w:val="Nagwek3"/>
      </w:pPr>
      <w:bookmarkStart w:id="0" w:name="_Toc147047346"/>
      <w:r w:rsidRPr="00D613CB">
        <w:t>Materiał nauczania z uwzględnieniem opisu efektów kształcenia</w:t>
      </w:r>
      <w:bookmarkEnd w:id="0"/>
    </w:p>
    <w:p w:rsidR="00283082" w:rsidRDefault="00283082" w:rsidP="00283082">
      <w:pPr>
        <w:pStyle w:val="nag3"/>
        <w:spacing w:line="240" w:lineRule="auto"/>
        <w:jc w:val="both"/>
        <w:rPr>
          <w:rFonts w:cs="Arial"/>
          <w:b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2858"/>
        <w:gridCol w:w="977"/>
        <w:gridCol w:w="4534"/>
        <w:gridCol w:w="3633"/>
      </w:tblGrid>
      <w:tr w:rsidR="00283082" w:rsidRPr="000964E0" w:rsidTr="00D12829">
        <w:tc>
          <w:tcPr>
            <w:tcW w:w="712" w:type="pct"/>
            <w:vMerge w:val="restart"/>
          </w:tcPr>
          <w:p w:rsidR="00283082" w:rsidRPr="000964E0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021" w:type="pct"/>
            <w:vMerge w:val="restart"/>
          </w:tcPr>
          <w:p w:rsidR="00283082" w:rsidRPr="000964E0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349" w:type="pct"/>
            <w:vMerge w:val="restart"/>
          </w:tcPr>
          <w:p w:rsidR="00283082" w:rsidRPr="000964E0" w:rsidRDefault="00283082" w:rsidP="00D12829">
            <w:pPr>
              <w:rPr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2918" w:type="pct"/>
            <w:gridSpan w:val="2"/>
          </w:tcPr>
          <w:p w:rsidR="00283082" w:rsidRPr="000964E0" w:rsidRDefault="00283082" w:rsidP="00D12829">
            <w:pPr>
              <w:jc w:val="center"/>
              <w:rPr>
                <w:sz w:val="20"/>
                <w:szCs w:val="20"/>
              </w:rPr>
            </w:pPr>
            <w:r w:rsidRPr="00FE7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Wymagania programowe (uwzględniają kryteria weryfikacji określone w podstawie programowej)</w:t>
            </w:r>
          </w:p>
        </w:tc>
      </w:tr>
      <w:tr w:rsidR="00283082" w:rsidRPr="000964E0" w:rsidTr="00D12829">
        <w:tc>
          <w:tcPr>
            <w:tcW w:w="712" w:type="pct"/>
            <w:vMerge/>
          </w:tcPr>
          <w:p w:rsidR="00283082" w:rsidRPr="000964E0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  <w:vMerge/>
          </w:tcPr>
          <w:p w:rsidR="00283082" w:rsidRPr="000964E0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283082" w:rsidRPr="000964E0" w:rsidRDefault="00283082" w:rsidP="00D12829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283082" w:rsidRPr="00FB3F01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</w:t>
            </w:r>
          </w:p>
        </w:tc>
        <w:tc>
          <w:tcPr>
            <w:tcW w:w="1298" w:type="pct"/>
          </w:tcPr>
          <w:p w:rsidR="00283082" w:rsidRPr="00FB3F01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Ponadpodstawowe</w:t>
            </w:r>
          </w:p>
        </w:tc>
      </w:tr>
      <w:tr w:rsidR="00283082" w:rsidRPr="000964E0" w:rsidTr="00D12829">
        <w:tc>
          <w:tcPr>
            <w:tcW w:w="712" w:type="pct"/>
            <w:vMerge w:val="restart"/>
          </w:tcPr>
          <w:p w:rsidR="00283082" w:rsidRPr="000964E0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urządzeń i systemów mechatronicznych </w:t>
            </w:r>
          </w:p>
        </w:tc>
        <w:tc>
          <w:tcPr>
            <w:tcW w:w="1021" w:type="pct"/>
          </w:tcPr>
          <w:p w:rsidR="00283082" w:rsidRPr="000964E0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Obsługiwanie układów elektrycznych i elektronicznych urządzeń i systemów mechatronicznych</w:t>
            </w:r>
          </w:p>
        </w:tc>
        <w:tc>
          <w:tcPr>
            <w:tcW w:w="349" w:type="pct"/>
          </w:tcPr>
          <w:p w:rsidR="00283082" w:rsidRPr="000964E0" w:rsidRDefault="00283082" w:rsidP="00D1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20" w:type="pct"/>
          </w:tcPr>
          <w:p w:rsidR="00283082" w:rsidRPr="0052625B" w:rsidRDefault="00283082" w:rsidP="00283082">
            <w:pPr>
              <w:pStyle w:val="Default"/>
              <w:numPr>
                <w:ilvl w:val="0"/>
                <w:numId w:val="12"/>
              </w:numPr>
              <w:spacing w:line="23" w:lineRule="atLeast"/>
              <w:rPr>
                <w:sz w:val="20"/>
                <w:szCs w:val="20"/>
              </w:rPr>
            </w:pPr>
            <w:r w:rsidRPr="0052625B">
              <w:rPr>
                <w:sz w:val="20"/>
                <w:szCs w:val="20"/>
              </w:rPr>
              <w:t xml:space="preserve">odczytać dane znamionowe </w:t>
            </w:r>
            <w:r>
              <w:rPr>
                <w:sz w:val="20"/>
                <w:szCs w:val="20"/>
              </w:rPr>
              <w:t xml:space="preserve">elementów, podzespołów i zespołów elektrycznych i elektronicznych </w:t>
            </w:r>
            <w:r w:rsidRPr="0052625B">
              <w:rPr>
                <w:sz w:val="20"/>
                <w:szCs w:val="20"/>
              </w:rPr>
              <w:t>urządzeń</w:t>
            </w:r>
            <w:r>
              <w:rPr>
                <w:sz w:val="20"/>
                <w:szCs w:val="20"/>
              </w:rPr>
              <w:t xml:space="preserve"> i systemów mechatronicznych</w:t>
            </w:r>
          </w:p>
          <w:p w:rsidR="00283082" w:rsidRPr="0052625B" w:rsidRDefault="00283082" w:rsidP="00283082">
            <w:pPr>
              <w:pStyle w:val="Default"/>
              <w:numPr>
                <w:ilvl w:val="0"/>
                <w:numId w:val="12"/>
              </w:numPr>
              <w:spacing w:line="23" w:lineRule="atLeast"/>
              <w:rPr>
                <w:sz w:val="20"/>
                <w:szCs w:val="20"/>
              </w:rPr>
            </w:pPr>
            <w:r w:rsidRPr="0052625B">
              <w:rPr>
                <w:sz w:val="20"/>
                <w:szCs w:val="20"/>
              </w:rPr>
              <w:t>zinterpretować dane z tabliczki znamionowej</w:t>
            </w:r>
            <w:r>
              <w:rPr>
                <w:sz w:val="20"/>
                <w:szCs w:val="20"/>
              </w:rPr>
              <w:t xml:space="preserve">, </w:t>
            </w:r>
          </w:p>
          <w:p w:rsidR="00283082" w:rsidRPr="00FF1AE2" w:rsidRDefault="00283082" w:rsidP="00283082">
            <w:pPr>
              <w:pStyle w:val="Default"/>
              <w:numPr>
                <w:ilvl w:val="0"/>
                <w:numId w:val="12"/>
              </w:numPr>
              <w:spacing w:line="23" w:lineRule="atLeast"/>
              <w:rPr>
                <w:sz w:val="20"/>
                <w:szCs w:val="20"/>
              </w:rPr>
            </w:pPr>
            <w:r w:rsidRPr="00FF1AE2">
              <w:rPr>
                <w:sz w:val="20"/>
                <w:szCs w:val="20"/>
              </w:rPr>
              <w:t>określić parametry urządzeń sterowania elektrycznego i elektronicznego na podstawie opisów, tabliczek znamionowych, dokumentacji,</w:t>
            </w:r>
          </w:p>
          <w:p w:rsidR="00283082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dobierać układ zasilający elementów, podzespołów i zespołów elektrycznych i elektronicznych urządzeń i systemów mechatronicznych</w:t>
            </w:r>
          </w:p>
          <w:p w:rsidR="00283082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dobierać typ instalacji elektrycznej</w:t>
            </w:r>
          </w:p>
          <w:p w:rsidR="00283082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dobierać zabezpieczenia elementów, podzespołów i zespołów elektrycznych i elektronicznych</w:t>
            </w:r>
          </w:p>
          <w:p w:rsidR="00283082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dobierać parametry maszyn elektrycznych prądu stałego i przemiennego</w:t>
            </w:r>
          </w:p>
          <w:p w:rsidR="00283082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dobierać parametry pracy elementów, podzespołów i zespołów elektrycznych i elektronicznych</w:t>
            </w:r>
          </w:p>
          <w:p w:rsidR="00283082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dobierać metody sprawdzania elementów, podzespołów i zespołów elektrycznych i elektronicznych</w:t>
            </w:r>
          </w:p>
          <w:p w:rsidR="00283082" w:rsidRPr="00FB3F01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planować kolejność prac podczas obsługiwania elementów, podzespołów i zespołów elektrycznych i elektronicznych</w:t>
            </w:r>
          </w:p>
        </w:tc>
        <w:tc>
          <w:tcPr>
            <w:tcW w:w="1298" w:type="pct"/>
          </w:tcPr>
          <w:p w:rsidR="00283082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 w:hanging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podłączać układ zasilający elementów, podzespołów i zespołów elektrycznych i elektronicznych</w:t>
            </w:r>
          </w:p>
          <w:p w:rsidR="00283082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 w:hanging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obsługiwać elementy, podzespoły i zespoły elektryczne i elektroniczne urządzeń i systemów mechatronicznych</w:t>
            </w:r>
          </w:p>
          <w:p w:rsidR="00283082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 w:hanging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posługiwać się dokumentacja podczas obsługiwania urządzeń i systemów mechatronicznych</w:t>
            </w:r>
          </w:p>
          <w:p w:rsidR="00283082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 w:hanging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kontrolować jakość obsługi elementów, podzespołów i zespołów elektrycznych i elektronicznych</w:t>
            </w:r>
          </w:p>
          <w:p w:rsidR="00283082" w:rsidRPr="000964E0" w:rsidRDefault="00283082" w:rsidP="00D12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2" w:rsidRPr="000964E0" w:rsidTr="00D12829">
        <w:trPr>
          <w:trHeight w:val="1554"/>
        </w:trPr>
        <w:tc>
          <w:tcPr>
            <w:tcW w:w="712" w:type="pct"/>
            <w:vMerge/>
          </w:tcPr>
          <w:p w:rsidR="00283082" w:rsidRPr="000964E0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</w:tcPr>
          <w:p w:rsidR="00283082" w:rsidRPr="000964E0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Obsługiwanie elementów, podzespołów i zespołów pneumatycznych urządzeń i systemów mechatronicznych </w:t>
            </w:r>
          </w:p>
        </w:tc>
        <w:tc>
          <w:tcPr>
            <w:tcW w:w="349" w:type="pct"/>
          </w:tcPr>
          <w:p w:rsidR="00283082" w:rsidRPr="000964E0" w:rsidRDefault="00283082" w:rsidP="00D1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pct"/>
          </w:tcPr>
          <w:p w:rsidR="00283082" w:rsidRPr="0052625B" w:rsidRDefault="00283082" w:rsidP="00283082">
            <w:pPr>
              <w:pStyle w:val="Default"/>
              <w:numPr>
                <w:ilvl w:val="0"/>
                <w:numId w:val="12"/>
              </w:numPr>
              <w:spacing w:line="23" w:lineRule="atLeast"/>
              <w:rPr>
                <w:sz w:val="20"/>
                <w:szCs w:val="20"/>
              </w:rPr>
            </w:pPr>
            <w:r w:rsidRPr="0052625B">
              <w:rPr>
                <w:sz w:val="20"/>
                <w:szCs w:val="20"/>
              </w:rPr>
              <w:t xml:space="preserve">odczytać dane znamionowe </w:t>
            </w:r>
            <w:r>
              <w:rPr>
                <w:sz w:val="20"/>
                <w:szCs w:val="20"/>
              </w:rPr>
              <w:t xml:space="preserve">elementów, podzespołów i zespołów pneumatycznych </w:t>
            </w:r>
            <w:r w:rsidRPr="0052625B">
              <w:rPr>
                <w:sz w:val="20"/>
                <w:szCs w:val="20"/>
              </w:rPr>
              <w:t>urządzeń</w:t>
            </w:r>
            <w:r>
              <w:rPr>
                <w:sz w:val="20"/>
                <w:szCs w:val="20"/>
              </w:rPr>
              <w:t xml:space="preserve"> i systemów mechatronicznych</w:t>
            </w:r>
          </w:p>
          <w:p w:rsidR="00283082" w:rsidRPr="00FF1AE2" w:rsidRDefault="00283082" w:rsidP="00283082">
            <w:pPr>
              <w:pStyle w:val="Default"/>
              <w:numPr>
                <w:ilvl w:val="0"/>
                <w:numId w:val="12"/>
              </w:numPr>
              <w:spacing w:line="23" w:lineRule="atLeast"/>
              <w:rPr>
                <w:sz w:val="20"/>
                <w:szCs w:val="20"/>
              </w:rPr>
            </w:pPr>
            <w:r w:rsidRPr="00FF1AE2">
              <w:rPr>
                <w:sz w:val="20"/>
                <w:szCs w:val="20"/>
              </w:rPr>
              <w:t xml:space="preserve">określić parametry urządzeń sterowania </w:t>
            </w:r>
            <w:r>
              <w:rPr>
                <w:sz w:val="20"/>
                <w:szCs w:val="20"/>
              </w:rPr>
              <w:t>pneumatycznego</w:t>
            </w:r>
            <w:r w:rsidRPr="00FF1AE2">
              <w:rPr>
                <w:sz w:val="20"/>
                <w:szCs w:val="20"/>
              </w:rPr>
              <w:t>,</w:t>
            </w:r>
          </w:p>
          <w:p w:rsidR="00283082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dobierać układ zasilający elementów, podzespołów i zespołów </w:t>
            </w:r>
            <w:r w:rsidRPr="00FB3F01">
              <w:rPr>
                <w:rFonts w:ascii="Arial" w:hAnsi="Arial" w:cs="Arial"/>
                <w:sz w:val="20"/>
                <w:szCs w:val="20"/>
              </w:rPr>
              <w:t>pneumatycznych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urządzeń i systemów mechatronicznych</w:t>
            </w:r>
          </w:p>
          <w:p w:rsidR="00283082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dobierać zabezpieczenia elementów, podzespołów i zespołów pneumatycznych</w:t>
            </w:r>
          </w:p>
          <w:p w:rsidR="00283082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dobierać parametry pracy elementów, podzespołów i zespołów pneumatycznych</w:t>
            </w:r>
          </w:p>
          <w:p w:rsidR="00283082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dobierać metody sprawdzania elementów, podzespołów i zespołów pneumatycznych</w:t>
            </w:r>
          </w:p>
          <w:p w:rsidR="00283082" w:rsidRPr="00FB3F01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planować kolejność prac podczas obsługiwania elementów, podzespołów i zespołów pneumatycznych</w:t>
            </w:r>
          </w:p>
        </w:tc>
        <w:tc>
          <w:tcPr>
            <w:tcW w:w="1298" w:type="pct"/>
          </w:tcPr>
          <w:p w:rsidR="00283082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 w:hanging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podłączać układ zasilający elementów, podzespołów i zespołów pneumatycznych</w:t>
            </w:r>
          </w:p>
          <w:p w:rsidR="00283082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 w:hanging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obsługiwać elementy, podzespoły i zespoły pneumatyczne urządzeń i systemów mechatronicznych</w:t>
            </w:r>
          </w:p>
          <w:p w:rsidR="00283082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 w:hanging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posługiwać się dokumentacja podczas obsługiwania urządzeń i systemów mechatronicznych</w:t>
            </w:r>
          </w:p>
          <w:p w:rsidR="00283082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 w:hanging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kontrolować jakość obsługi elementów, podzespołów i zespołów pneumatycznych</w:t>
            </w:r>
          </w:p>
          <w:p w:rsidR="00283082" w:rsidRPr="000964E0" w:rsidRDefault="00283082" w:rsidP="00D12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2" w:rsidRPr="000964E0" w:rsidTr="00D12829">
        <w:trPr>
          <w:trHeight w:val="2800"/>
        </w:trPr>
        <w:tc>
          <w:tcPr>
            <w:tcW w:w="712" w:type="pct"/>
          </w:tcPr>
          <w:p w:rsidR="00283082" w:rsidRPr="000964E0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</w:tcPr>
          <w:p w:rsidR="00283082" w:rsidRPr="000964E0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Obsługiwanie elementów, podzespołów i zespołów hydraulicznych urządzeń i systemów mechatronicznych </w:t>
            </w:r>
          </w:p>
        </w:tc>
        <w:tc>
          <w:tcPr>
            <w:tcW w:w="349" w:type="pct"/>
          </w:tcPr>
          <w:p w:rsidR="00283082" w:rsidRPr="000964E0" w:rsidRDefault="00283082" w:rsidP="00D1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pct"/>
          </w:tcPr>
          <w:p w:rsidR="00283082" w:rsidRPr="00FB3F01" w:rsidRDefault="00283082" w:rsidP="00283082">
            <w:pPr>
              <w:pStyle w:val="Default"/>
              <w:numPr>
                <w:ilvl w:val="0"/>
                <w:numId w:val="12"/>
              </w:numPr>
              <w:spacing w:line="23" w:lineRule="atLeast"/>
              <w:rPr>
                <w:sz w:val="20"/>
                <w:szCs w:val="20"/>
              </w:rPr>
            </w:pPr>
            <w:r w:rsidRPr="00FB3F01">
              <w:rPr>
                <w:sz w:val="20"/>
                <w:szCs w:val="20"/>
              </w:rPr>
              <w:t>odczytać dane znamionowe elementów, podzespołów i zespołów hydraulicznych urządzeń i systemów mechatronicznych</w:t>
            </w:r>
          </w:p>
          <w:p w:rsidR="00283082" w:rsidRPr="00FB3F01" w:rsidRDefault="00283082" w:rsidP="00283082">
            <w:pPr>
              <w:pStyle w:val="Default"/>
              <w:numPr>
                <w:ilvl w:val="0"/>
                <w:numId w:val="12"/>
              </w:numPr>
              <w:spacing w:line="23" w:lineRule="atLeast"/>
              <w:rPr>
                <w:sz w:val="20"/>
                <w:szCs w:val="20"/>
              </w:rPr>
            </w:pPr>
            <w:r w:rsidRPr="00FB3F01">
              <w:rPr>
                <w:sz w:val="20"/>
                <w:szCs w:val="20"/>
              </w:rPr>
              <w:t>określić parametry urządzeń sterowania hydraulicznego,</w:t>
            </w:r>
          </w:p>
          <w:p w:rsidR="00283082" w:rsidRPr="00FB3F01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F01">
              <w:rPr>
                <w:rFonts w:ascii="Arial" w:hAnsi="Arial" w:cs="Arial"/>
                <w:sz w:val="20"/>
                <w:szCs w:val="20"/>
              </w:rPr>
              <w:t>dobierać układ zasilający elementów, podzespołów i zespołów hydraulicznych urządzeń i systemów mechatronicznych</w:t>
            </w:r>
          </w:p>
          <w:p w:rsidR="00283082" w:rsidRPr="00FB3F01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F01">
              <w:rPr>
                <w:rFonts w:ascii="Arial" w:hAnsi="Arial" w:cs="Arial"/>
                <w:sz w:val="20"/>
                <w:szCs w:val="20"/>
              </w:rPr>
              <w:t>dobierać zabezpieczenia elementów, podzespołów i zespołów hydraulicznych</w:t>
            </w:r>
          </w:p>
          <w:p w:rsidR="00283082" w:rsidRPr="00FB3F01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F01">
              <w:rPr>
                <w:rFonts w:ascii="Arial" w:hAnsi="Arial" w:cs="Arial"/>
                <w:sz w:val="20"/>
                <w:szCs w:val="20"/>
              </w:rPr>
              <w:t>dobierać parametry pracy elementów, podzespołów i zespołów hydraulicznych</w:t>
            </w:r>
          </w:p>
          <w:p w:rsidR="00283082" w:rsidRPr="00FB3F01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F01">
              <w:rPr>
                <w:rFonts w:ascii="Arial" w:hAnsi="Arial" w:cs="Arial"/>
                <w:sz w:val="20"/>
                <w:szCs w:val="20"/>
              </w:rPr>
              <w:t>dobierać metody sprawdzania elementów, podzespołów i zespołów hydraulicznych</w:t>
            </w:r>
          </w:p>
          <w:p w:rsidR="00283082" w:rsidRPr="00FB3F01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F01">
              <w:rPr>
                <w:rFonts w:ascii="Arial" w:hAnsi="Arial" w:cs="Arial"/>
                <w:sz w:val="20"/>
                <w:szCs w:val="20"/>
              </w:rPr>
              <w:t>planować kolejność prac podczas obsługiwania elementów, podzespołów i zespołów hydraulicznych</w:t>
            </w:r>
          </w:p>
        </w:tc>
        <w:tc>
          <w:tcPr>
            <w:tcW w:w="1298" w:type="pct"/>
          </w:tcPr>
          <w:p w:rsidR="00283082" w:rsidRPr="00FB3F01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 w:hanging="420"/>
              <w:rPr>
                <w:rFonts w:ascii="Arial" w:hAnsi="Arial" w:cs="Arial"/>
                <w:sz w:val="20"/>
                <w:szCs w:val="20"/>
              </w:rPr>
            </w:pPr>
            <w:r w:rsidRPr="00FB3F01">
              <w:rPr>
                <w:rFonts w:ascii="Arial" w:hAnsi="Arial" w:cs="Arial"/>
                <w:sz w:val="20"/>
                <w:szCs w:val="20"/>
              </w:rPr>
              <w:t>podłączać układ zasilający elementów, podzespołów i zespołów hydraulicznych</w:t>
            </w:r>
          </w:p>
          <w:p w:rsidR="00283082" w:rsidRPr="00FB3F01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 w:hanging="420"/>
              <w:rPr>
                <w:rFonts w:ascii="Arial" w:hAnsi="Arial" w:cs="Arial"/>
                <w:sz w:val="20"/>
                <w:szCs w:val="20"/>
              </w:rPr>
            </w:pPr>
            <w:r w:rsidRPr="00FB3F01">
              <w:rPr>
                <w:rFonts w:ascii="Arial" w:hAnsi="Arial" w:cs="Arial"/>
                <w:sz w:val="20"/>
                <w:szCs w:val="20"/>
              </w:rPr>
              <w:t>obsługiwać elementy, podzespoły i zespoły hydrauliczne urządzeń i systemów mechatronicznych</w:t>
            </w:r>
          </w:p>
          <w:p w:rsidR="00283082" w:rsidRPr="00FB3F01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 w:hanging="420"/>
              <w:rPr>
                <w:rFonts w:ascii="Arial" w:hAnsi="Arial" w:cs="Arial"/>
                <w:sz w:val="20"/>
                <w:szCs w:val="20"/>
              </w:rPr>
            </w:pPr>
            <w:r w:rsidRPr="00FB3F01">
              <w:rPr>
                <w:rFonts w:ascii="Arial" w:hAnsi="Arial" w:cs="Arial"/>
                <w:sz w:val="20"/>
                <w:szCs w:val="20"/>
              </w:rPr>
              <w:t>posługiwać się dokumentacja podczas obsługiwania urządzeń i systemów mechatronicznych</w:t>
            </w:r>
          </w:p>
          <w:p w:rsidR="00283082" w:rsidRPr="00FB3F01" w:rsidRDefault="00283082" w:rsidP="00283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 w:hanging="420"/>
              <w:rPr>
                <w:rFonts w:ascii="Arial" w:hAnsi="Arial" w:cs="Arial"/>
                <w:sz w:val="20"/>
                <w:szCs w:val="20"/>
              </w:rPr>
            </w:pPr>
            <w:r w:rsidRPr="00FB3F01">
              <w:rPr>
                <w:rFonts w:ascii="Arial" w:hAnsi="Arial" w:cs="Arial"/>
                <w:sz w:val="20"/>
                <w:szCs w:val="20"/>
              </w:rPr>
              <w:t>kontrolować jakość obsługi elementów, podzespołów i zespołów hydraulicznych</w:t>
            </w:r>
          </w:p>
          <w:p w:rsidR="00283082" w:rsidRPr="00FB3F01" w:rsidRDefault="00283082" w:rsidP="00D12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2" w:rsidRPr="00D72E32" w:rsidTr="00D12829">
        <w:tc>
          <w:tcPr>
            <w:tcW w:w="712" w:type="pct"/>
            <w:vMerge w:val="restart"/>
          </w:tcPr>
          <w:p w:rsidR="00283082" w:rsidRPr="000964E0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Konserwacja urządzeń i systemów mechatronicznych </w:t>
            </w:r>
          </w:p>
        </w:tc>
        <w:tc>
          <w:tcPr>
            <w:tcW w:w="1021" w:type="pct"/>
          </w:tcPr>
          <w:p w:rsidR="00283082" w:rsidRPr="000964E0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Konserwacja urządzeń elektrycznych </w:t>
            </w:r>
          </w:p>
        </w:tc>
        <w:tc>
          <w:tcPr>
            <w:tcW w:w="349" w:type="pct"/>
          </w:tcPr>
          <w:p w:rsidR="00283082" w:rsidRPr="000964E0" w:rsidRDefault="00283082" w:rsidP="00D1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20" w:type="pct"/>
          </w:tcPr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dobierać sposoby monitorowania pracy urządzeń elektrycznych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dobierać metody diagnozowania stanu urządzeń elektrycznych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rozróżniać komunikaty urządzeń elektrycznych monitorujących stan pracy systemów mechatronicznych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dobierać rodzaj przeglądu technicznego urządzeń elektrycznych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dobierać przyrządy  do pomiarów fizycznych urządzeń elektrycznych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dobierać materiały eksploatacyjne 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dobierać metody konserwacji urządzeń elektrycznych</w:t>
            </w:r>
          </w:p>
          <w:p w:rsidR="00283082" w:rsidRPr="0052625B" w:rsidRDefault="00283082" w:rsidP="00D12829">
            <w:pPr>
              <w:pStyle w:val="Default"/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1298" w:type="pct"/>
          </w:tcPr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monitorować pracę urządzeń elektrycznych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diagnozować stan urządzeń elektrycznych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czytać komunikaty urządzeń elektrycznych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przeprowadzać przegląd techniczny urządzeń elektrycznych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przeprowadzać pomiary wielkości fizycznych urządzeń elektrycznych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przeprowadzać konserwację urządzeń elektrycznych</w:t>
            </w:r>
          </w:p>
          <w:p w:rsidR="00283082" w:rsidRPr="00D72E3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oceniać jakość przeprowadzonej konserwacji urządzeń elektrycznych</w:t>
            </w:r>
          </w:p>
        </w:tc>
      </w:tr>
      <w:tr w:rsidR="00283082" w:rsidRPr="00D72E32" w:rsidTr="00D12829">
        <w:trPr>
          <w:trHeight w:val="1554"/>
        </w:trPr>
        <w:tc>
          <w:tcPr>
            <w:tcW w:w="712" w:type="pct"/>
            <w:vMerge/>
          </w:tcPr>
          <w:p w:rsidR="00283082" w:rsidRPr="000964E0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</w:tcPr>
          <w:p w:rsidR="00283082" w:rsidRPr="000964E0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Konserwacja urządzeń pneumatycznych </w:t>
            </w:r>
          </w:p>
        </w:tc>
        <w:tc>
          <w:tcPr>
            <w:tcW w:w="349" w:type="pct"/>
          </w:tcPr>
          <w:p w:rsidR="00283082" w:rsidRPr="000964E0" w:rsidRDefault="00283082" w:rsidP="00D1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20" w:type="pct"/>
          </w:tcPr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dobierać sposoby monitorowania pracy urządzeń pneumatycznych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dobierać metody diagnozowania stanu urządzeń pneumatycznych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rozróżniać komunikaty urządzeń pneumatycznych monitorujących stan pracy systemów mechatronicznych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dobierać rodzaj przeglądu technicznego urządzeń pneumatycznych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dobierać przyrządy  do pomiarów fizycznych urządzeń pneumatycznych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dobierać materiały eksploatacyjne 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dobierać metody konserwacji urządzeń pneumatycznych</w:t>
            </w:r>
          </w:p>
          <w:p w:rsidR="00283082" w:rsidRPr="0052625B" w:rsidRDefault="00283082" w:rsidP="00D12829">
            <w:pPr>
              <w:pStyle w:val="Default"/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1298" w:type="pct"/>
          </w:tcPr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monitorować pracę urządzeń pneumatycznych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diagnozować stan urządzeń pneumatycznych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czytać komunikaty urządzeń pneumatycznych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przeprowadzać przegląd techniczny urządzeń pneumatycznych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przeprowadzać pomiary wielkości fizycznych urządzeń pneumatycznych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przeprowadzać konserwację urządzeń pneumatycznych</w:t>
            </w:r>
          </w:p>
          <w:p w:rsidR="00283082" w:rsidRPr="00D72E3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oceniać jakość przeprowadzonej konserwacji urządzeń pneumatycznych</w:t>
            </w:r>
          </w:p>
        </w:tc>
      </w:tr>
      <w:tr w:rsidR="00283082" w:rsidRPr="00D72E32" w:rsidTr="00D12829">
        <w:trPr>
          <w:trHeight w:val="562"/>
        </w:trPr>
        <w:tc>
          <w:tcPr>
            <w:tcW w:w="712" w:type="pct"/>
          </w:tcPr>
          <w:p w:rsidR="00283082" w:rsidRPr="000964E0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</w:tcPr>
          <w:p w:rsidR="00283082" w:rsidRPr="000964E0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Konserwacja urządzeń hydraulicznych</w:t>
            </w:r>
          </w:p>
        </w:tc>
        <w:tc>
          <w:tcPr>
            <w:tcW w:w="349" w:type="pct"/>
          </w:tcPr>
          <w:p w:rsidR="00283082" w:rsidRPr="000964E0" w:rsidRDefault="00283082" w:rsidP="00D1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20" w:type="pct"/>
          </w:tcPr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dobierać sposoby monitorowania pracy urządzeń hydraulicznych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dobierać metody diagnozowania stanu urządzeń hydraulicznych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rozróżniać komunikaty urządzeń hydraulicznych monitorujących stan pracy systemów mechatronicznych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dobierać rodzaj przeglądu technicznego urządzeń hydraulicznych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dobierać przyrządy  do pomiarów fizycznych urządzeń hydraulicznych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dobierać materiały eksploatacyjne 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dobierać metody konserwacji urządzeń hydraulicznych</w:t>
            </w:r>
          </w:p>
          <w:p w:rsidR="00283082" w:rsidRPr="0052625B" w:rsidRDefault="00283082" w:rsidP="00D12829">
            <w:pPr>
              <w:pStyle w:val="Default"/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1298" w:type="pct"/>
          </w:tcPr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monitorować pracę urządzeń hydraulicznych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diagnozować stan urządzeń hydraulicznych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czytać komunikaty urządzeń hydraulicznych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przeprowadzać przegląd techniczny urządzeń hydraulicznych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przeprowadzać pomiary wielkości fizycznych urządzeń hydraulicznych</w:t>
            </w:r>
          </w:p>
          <w:p w:rsidR="0028308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przeprowadzać konserwację urządzeń hydraulicznych</w:t>
            </w:r>
          </w:p>
          <w:p w:rsidR="00283082" w:rsidRPr="00D72E32" w:rsidRDefault="00283082" w:rsidP="00283082">
            <w:pPr>
              <w:pStyle w:val="Default"/>
              <w:numPr>
                <w:ilvl w:val="0"/>
                <w:numId w:val="10"/>
              </w:num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oceniać jakość przeprowadzonej konserwacji urządzeń pneumatycznych</w:t>
            </w:r>
          </w:p>
        </w:tc>
      </w:tr>
      <w:tr w:rsidR="00283082" w:rsidTr="00D12829">
        <w:trPr>
          <w:trHeight w:val="562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082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Kompetencje personalne i społeczne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 zasad kultury osobistej i etyki zawodowej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D1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 w:line="240" w:lineRule="auto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stosować zasady kultury osobistej i ogólnie przyjęte normy zachowania w środowisku pracy;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respektować zasady dotyczące przestrzegania tajemnicy związanej z wykonywanym zawodem i miejscem pracy;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przyjąć odpowiedzialność za powierzone informacje zawodowe;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wyjaśnić, na czym polega zachowanie etyczne w zawodzie;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wskazać przykłady zachowań etycznych w zawodzie;</w:t>
            </w:r>
          </w:p>
        </w:tc>
      </w:tr>
      <w:tr w:rsidR="00283082" w:rsidTr="00D12829">
        <w:trPr>
          <w:trHeight w:val="56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82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planuje wykonanie zadania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D1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omówić czynności realizowane w ramach czasu pracy;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określić czas realizacji zadań;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realizować działania w wyznaczonym czasie;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 w:line="240" w:lineRule="auto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monitorować realizację zaplanowanych działań;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 w:line="240" w:lineRule="auto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dokonać modyfikacji zaplanowanych działań;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dokonać samooceny wykonanej pracy;</w:t>
            </w:r>
          </w:p>
        </w:tc>
      </w:tr>
      <w:tr w:rsidR="00283082" w:rsidTr="00D12829">
        <w:trPr>
          <w:trHeight w:val="56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82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ponosi odpowiedzialność za podejmowane działania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D1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 w:line="240" w:lineRule="auto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przewidzieć skutki podejmowanych działań, w tym skutki prawne;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 w:line="240" w:lineRule="auto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wykazać świadomość odpowiedzialności za wykonywaną pracę;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ocenić podejmowane działania;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 w:line="240" w:lineRule="auto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przewidzieć konsekwencje niewłaściwej eksploatacji maszyn i urządzeń w środowisku pracy;</w:t>
            </w:r>
          </w:p>
        </w:tc>
      </w:tr>
      <w:tr w:rsidR="00283082" w:rsidTr="00D12829">
        <w:trPr>
          <w:trHeight w:val="56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82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wykazuje się kreatywnością i otwartością na zmiany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D1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 w:line="240" w:lineRule="auto"/>
              <w:ind w:left="337" w:hanging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podać przykłady wpływu zmiany na różne sytuacje życia społecznego i gospodarczego;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 w:hanging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wskazać przykłady wprowadzenia zmiany i ocenia skutki jej wprowadzenia;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 w:hanging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proponować sposoby rozwiązywania problemów związanych z wykonywaniem zadań zawodowych w nieprzewidywalnych warunkach;</w:t>
            </w:r>
          </w:p>
        </w:tc>
      </w:tr>
      <w:tr w:rsidR="00283082" w:rsidTr="00D12829">
        <w:trPr>
          <w:trHeight w:val="56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82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techniki radzenia sobie ze stresem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D1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 w:line="240" w:lineRule="auto"/>
              <w:ind w:left="337" w:hanging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rozpoznać źródła stresu podczas wykonywania zadań zawodowych;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 w:line="240" w:lineRule="auto"/>
              <w:ind w:left="337" w:hanging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wybrać techniki radzenia sobie ze stresem odpowiednio do sytuacji;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 w:hanging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wskazać najczęstsze przyczyny sytuacji stresowych w pracy zawodowej;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 w:hanging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przedstawić różne formy zachowań asertywnych, jako sposobów radzenia sobie ze stresem;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 w:hanging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rozróżnić techniki rozwiązywania konfliktów związanych z wykonywaniem zadań zawodowych;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 w:line="240" w:lineRule="auto"/>
              <w:ind w:left="337" w:hanging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określić skutki stresu;</w:t>
            </w:r>
          </w:p>
        </w:tc>
      </w:tr>
      <w:tr w:rsidR="00283082" w:rsidTr="00D12829">
        <w:trPr>
          <w:trHeight w:val="56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82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doskonali umiejętności zawodowe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D1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 w:line="240" w:lineRule="auto"/>
              <w:ind w:left="337" w:hanging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określić zakres umiejętności i kompetencji niezbędnych do wykonywania zawodu;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 w:hanging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wyznaczyć własne cele rozwoju zawodowego;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 w:hanging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analizować własne kompetencje;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 w:hanging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planować drogę rozwoju zawodowego;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 w:line="240" w:lineRule="auto"/>
              <w:ind w:left="337" w:hanging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wskazać możliwości podnoszenia kompetencji zawodowych, osobistych i społecznych;</w:t>
            </w:r>
          </w:p>
        </w:tc>
      </w:tr>
      <w:tr w:rsidR="00283082" w:rsidTr="00D12829">
        <w:trPr>
          <w:trHeight w:val="56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82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zasady komunikacji interpersonalnej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D1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 w:line="240" w:lineRule="auto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identyfikować sygnały werbalne i niewerbalne;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stosować aktywne metody słuchania;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prowadzić dyskusje;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 w:line="240" w:lineRule="auto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udzielić informacji zwrotnej;</w:t>
            </w:r>
          </w:p>
        </w:tc>
      </w:tr>
      <w:tr w:rsidR="00283082" w:rsidTr="00D12829">
        <w:trPr>
          <w:trHeight w:val="56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82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metody i techniki rozwiązywania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D1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 w:line="240" w:lineRule="auto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opisać sposób przeciwdziałania problemom w zespole realizującym zadania;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opisać techniki rozwiązywania problemów;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 w:line="240" w:lineRule="auto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wskazać, na wybranym przykładzie, metody i techniki rozwiązywania problemu;</w:t>
            </w:r>
          </w:p>
        </w:tc>
      </w:tr>
      <w:tr w:rsidR="00283082" w:rsidTr="00D12829">
        <w:trPr>
          <w:trHeight w:val="562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Default="00283082" w:rsidP="00D1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współpracuje w zespole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D12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 w:line="240" w:lineRule="auto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pracować w zespole, ponosząc odpowiedzialność za wspólnie realizowane zadania;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 w:line="240" w:lineRule="auto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przestrzegać podziału ról, zadań i odpowiedzialności w zespole.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angażować się w realizację wspólnych działań zespołu;</w:t>
            </w:r>
          </w:p>
          <w:p w:rsidR="00283082" w:rsidRPr="008C549D" w:rsidRDefault="00283082" w:rsidP="00283082">
            <w:pPr>
              <w:numPr>
                <w:ilvl w:val="0"/>
                <w:numId w:val="15"/>
              </w:numPr>
              <w:spacing w:after="0" w:line="240" w:lineRule="auto"/>
              <w:ind w:left="337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549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modyfikować sposób zachowania, uwzględniając stanowisko wypracowane wspólnie z innymi członkami zespołu.</w:t>
            </w:r>
          </w:p>
        </w:tc>
      </w:tr>
    </w:tbl>
    <w:p w:rsidR="00283082" w:rsidRDefault="00283082" w:rsidP="00283082"/>
    <w:p w:rsidR="00283082" w:rsidRDefault="00283082" w:rsidP="00283082">
      <w:pPr>
        <w:pStyle w:val="Nagwek3"/>
        <w:rPr>
          <w:rFonts w:eastAsia="Calibri"/>
        </w:rPr>
      </w:pPr>
      <w:bookmarkStart w:id="1" w:name="_Toc147047347"/>
    </w:p>
    <w:p w:rsidR="00283082" w:rsidRPr="00FF1BDD" w:rsidRDefault="00283082" w:rsidP="00283082">
      <w:pPr>
        <w:pStyle w:val="Nagwek3"/>
        <w:rPr>
          <w:rFonts w:eastAsia="Calibri"/>
        </w:rPr>
      </w:pPr>
      <w:r w:rsidRPr="00FF1BDD">
        <w:rPr>
          <w:rFonts w:eastAsia="Calibri"/>
        </w:rPr>
        <w:t>P</w:t>
      </w:r>
      <w:r w:rsidRPr="002D70BD">
        <w:rPr>
          <w:rFonts w:eastAsia="Calibri"/>
        </w:rPr>
        <w:t>rocedury osiągania celó</w:t>
      </w:r>
      <w:r w:rsidRPr="00FF1BDD">
        <w:rPr>
          <w:rFonts w:eastAsia="Calibri"/>
        </w:rPr>
        <w:t>w kształcenia</w:t>
      </w:r>
      <w:bookmarkEnd w:id="1"/>
    </w:p>
    <w:p w:rsidR="00283082" w:rsidRPr="00FF1BDD" w:rsidRDefault="00283082" w:rsidP="00283082">
      <w:pPr>
        <w:autoSpaceDE w:val="0"/>
        <w:autoSpaceDN w:val="0"/>
        <w:adjustRightInd w:val="0"/>
        <w:spacing w:after="4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283082" w:rsidRPr="005242FA" w:rsidRDefault="00283082" w:rsidP="00283082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CB1425">
        <w:rPr>
          <w:rFonts w:ascii="Arial" w:hAnsi="Arial" w:cs="Arial"/>
          <w:sz w:val="20"/>
          <w:szCs w:val="20"/>
        </w:rPr>
        <w:t xml:space="preserve">Zaplanowane do osiągnięcia efekty kształcenia przygotowują </w:t>
      </w:r>
      <w:r>
        <w:rPr>
          <w:rFonts w:ascii="Arial" w:hAnsi="Arial" w:cs="Arial"/>
          <w:sz w:val="20"/>
          <w:szCs w:val="20"/>
        </w:rPr>
        <w:t>uczestnika kursu</w:t>
      </w:r>
      <w:r w:rsidRPr="00CB1425">
        <w:rPr>
          <w:rFonts w:ascii="Arial" w:hAnsi="Arial" w:cs="Arial"/>
          <w:sz w:val="20"/>
          <w:szCs w:val="20"/>
        </w:rPr>
        <w:t xml:space="preserve"> do wykonywania zadań zawodowych w sposób bezpieczny, nie powodując zagrożenia dla osób, mienia i środowiska. Należy stosować aktywizujące metody kształcenia, ze szczególnym uwzględnieniem metody ćwiczeń, dyskusji dydaktycznej, metody przypadków. </w:t>
      </w:r>
      <w:r>
        <w:rPr>
          <w:rFonts w:ascii="Arial" w:hAnsi="Arial" w:cs="Arial"/>
          <w:sz w:val="20"/>
          <w:szCs w:val="20"/>
        </w:rPr>
        <w:t xml:space="preserve">Pracowania jest </w:t>
      </w:r>
      <w:r w:rsidRPr="005242FA">
        <w:rPr>
          <w:rFonts w:ascii="Arial" w:eastAsia="Times New Roman" w:hAnsi="Arial" w:cs="Arial"/>
          <w:sz w:val="20"/>
          <w:szCs w:val="20"/>
        </w:rPr>
        <w:t>przedmiotem o charakterze praktycznym, zaleca się stosowanie metod nauczania eksponujących i problemowych, takich jak: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242FA">
        <w:rPr>
          <w:rFonts w:ascii="Arial" w:eastAsia="Times New Roman" w:hAnsi="Arial" w:cs="Arial"/>
          <w:sz w:val="20"/>
          <w:szCs w:val="20"/>
        </w:rPr>
        <w:t>pokaz z objaśnieniem,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242FA">
        <w:rPr>
          <w:rFonts w:ascii="Arial" w:eastAsia="Times New Roman" w:hAnsi="Arial" w:cs="Arial"/>
          <w:sz w:val="20"/>
          <w:szCs w:val="20"/>
        </w:rPr>
        <w:t>ćwiczenie praktyczne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5242FA">
        <w:rPr>
          <w:rFonts w:ascii="Arial" w:eastAsia="Times New Roman" w:hAnsi="Arial" w:cs="Arial"/>
          <w:sz w:val="20"/>
          <w:szCs w:val="20"/>
        </w:rPr>
        <w:t xml:space="preserve"> instruktaż (wstępny, bieżący i końcowy),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242FA">
        <w:rPr>
          <w:rFonts w:ascii="Arial" w:eastAsia="Times New Roman" w:hAnsi="Arial" w:cs="Arial"/>
          <w:sz w:val="20"/>
          <w:szCs w:val="20"/>
        </w:rPr>
        <w:t>próba pracy.</w:t>
      </w:r>
    </w:p>
    <w:p w:rsidR="00283082" w:rsidRDefault="00283082" w:rsidP="00283082">
      <w:pPr>
        <w:spacing w:before="240" w:line="23" w:lineRule="atLeast"/>
        <w:jc w:val="both"/>
        <w:rPr>
          <w:rFonts w:ascii="Arial" w:hAnsi="Arial" w:cs="Arial"/>
          <w:sz w:val="20"/>
          <w:szCs w:val="20"/>
        </w:rPr>
      </w:pPr>
      <w:r w:rsidRPr="00CB1425">
        <w:rPr>
          <w:rFonts w:ascii="Arial" w:hAnsi="Arial" w:cs="Arial"/>
          <w:b/>
          <w:sz w:val="20"/>
          <w:szCs w:val="20"/>
        </w:rPr>
        <w:t>Środki dydaktyczne</w:t>
      </w:r>
      <w:r>
        <w:rPr>
          <w:rFonts w:ascii="Arial" w:hAnsi="Arial" w:cs="Arial"/>
          <w:sz w:val="20"/>
          <w:szCs w:val="20"/>
        </w:rPr>
        <w:t xml:space="preserve">: </w:t>
      </w:r>
      <w:r w:rsidRPr="00CB1425">
        <w:rPr>
          <w:rFonts w:ascii="Arial" w:hAnsi="Arial" w:cs="Arial"/>
          <w:sz w:val="20"/>
          <w:szCs w:val="20"/>
        </w:rPr>
        <w:t>Zestawy ćwiczeń, instrukcje do ćwiczeń</w:t>
      </w:r>
      <w:r>
        <w:rPr>
          <w:rFonts w:ascii="Arial" w:hAnsi="Arial" w:cs="Arial"/>
          <w:sz w:val="20"/>
          <w:szCs w:val="20"/>
        </w:rPr>
        <w:t>, pakiety edukacyjne</w:t>
      </w:r>
      <w:r w:rsidRPr="00CB1425">
        <w:rPr>
          <w:rFonts w:ascii="Arial" w:hAnsi="Arial" w:cs="Arial"/>
          <w:sz w:val="20"/>
          <w:szCs w:val="20"/>
        </w:rPr>
        <w:t>, karty sa</w:t>
      </w:r>
      <w:r>
        <w:rPr>
          <w:rFonts w:ascii="Arial" w:hAnsi="Arial" w:cs="Arial"/>
          <w:sz w:val="20"/>
          <w:szCs w:val="20"/>
        </w:rPr>
        <w:t>mooceny, karty pracy</w:t>
      </w:r>
      <w:r w:rsidRPr="00CB14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CB1425">
        <w:rPr>
          <w:rFonts w:ascii="Arial" w:hAnsi="Arial" w:cs="Arial"/>
          <w:sz w:val="20"/>
          <w:szCs w:val="20"/>
        </w:rPr>
        <w:t xml:space="preserve">Czasopisma branżowe i katalogi </w:t>
      </w:r>
      <w:r>
        <w:rPr>
          <w:rFonts w:ascii="Arial" w:hAnsi="Arial" w:cs="Arial"/>
          <w:sz w:val="20"/>
          <w:szCs w:val="20"/>
        </w:rPr>
        <w:t xml:space="preserve">branżowe, </w:t>
      </w:r>
      <w:r w:rsidRPr="00CB1425">
        <w:rPr>
          <w:rFonts w:ascii="Arial" w:hAnsi="Arial" w:cs="Arial"/>
          <w:sz w:val="20"/>
          <w:szCs w:val="20"/>
        </w:rPr>
        <w:t xml:space="preserve">plansze, prezentacje multimedialne o tematyce dotyczącej </w:t>
      </w:r>
      <w:r>
        <w:rPr>
          <w:rFonts w:ascii="Arial" w:hAnsi="Arial" w:cs="Arial"/>
          <w:sz w:val="20"/>
          <w:szCs w:val="20"/>
        </w:rPr>
        <w:t>realizowanych jednostek metodycznych.</w:t>
      </w:r>
    </w:p>
    <w:p w:rsidR="00283082" w:rsidRPr="00CB1425" w:rsidRDefault="00283082" w:rsidP="00283082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CB1425">
        <w:rPr>
          <w:rFonts w:ascii="Arial" w:hAnsi="Arial" w:cs="Arial"/>
          <w:b/>
          <w:sz w:val="20"/>
          <w:szCs w:val="20"/>
        </w:rPr>
        <w:t>Obudowa dydaktyczna</w:t>
      </w:r>
      <w:r w:rsidRPr="00CB1425">
        <w:rPr>
          <w:rFonts w:ascii="Arial" w:hAnsi="Arial" w:cs="Arial"/>
          <w:sz w:val="20"/>
          <w:szCs w:val="20"/>
        </w:rPr>
        <w:t>:</w:t>
      </w:r>
    </w:p>
    <w:p w:rsidR="00283082" w:rsidRPr="00CB1425" w:rsidRDefault="00283082" w:rsidP="00283082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zestawy ćwiczeń</w:t>
      </w:r>
      <w:r w:rsidRPr="00CB1425">
        <w:rPr>
          <w:rFonts w:ascii="Arial" w:hAnsi="Arial" w:cs="Arial"/>
          <w:sz w:val="20"/>
          <w:szCs w:val="20"/>
        </w:rPr>
        <w:t>,</w:t>
      </w:r>
    </w:p>
    <w:p w:rsidR="00283082" w:rsidRPr="00CB1425" w:rsidRDefault="00283082" w:rsidP="00283082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CB1425">
        <w:rPr>
          <w:rFonts w:ascii="Arial" w:hAnsi="Arial" w:cs="Arial"/>
          <w:sz w:val="20"/>
          <w:szCs w:val="20"/>
        </w:rPr>
        <w:t>karty ćwiczeń,</w:t>
      </w:r>
    </w:p>
    <w:p w:rsidR="00283082" w:rsidRPr="00CB1425" w:rsidRDefault="00283082" w:rsidP="00283082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CB1425">
        <w:rPr>
          <w:rFonts w:ascii="Arial" w:hAnsi="Arial" w:cs="Arial"/>
          <w:sz w:val="20"/>
          <w:szCs w:val="20"/>
        </w:rPr>
        <w:t>tablica multimedialna (lub projektor multimedialny),</w:t>
      </w:r>
    </w:p>
    <w:p w:rsidR="00283082" w:rsidRPr="00CB1425" w:rsidRDefault="00283082" w:rsidP="00283082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CB1425">
        <w:rPr>
          <w:rFonts w:ascii="Arial" w:hAnsi="Arial" w:cs="Arial"/>
          <w:sz w:val="20"/>
          <w:szCs w:val="20"/>
        </w:rPr>
        <w:t>urządzenie wielofunkcyjne,</w:t>
      </w:r>
    </w:p>
    <w:p w:rsidR="00283082" w:rsidRDefault="00283082" w:rsidP="00283082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CB1425">
        <w:rPr>
          <w:rFonts w:ascii="Arial" w:hAnsi="Arial" w:cs="Arial"/>
          <w:sz w:val="20"/>
          <w:szCs w:val="20"/>
        </w:rPr>
        <w:t xml:space="preserve">wyciągi z </w:t>
      </w:r>
      <w:r>
        <w:rPr>
          <w:rFonts w:ascii="Arial" w:hAnsi="Arial" w:cs="Arial"/>
          <w:sz w:val="20"/>
          <w:szCs w:val="20"/>
        </w:rPr>
        <w:t xml:space="preserve">norm dotyczące </w:t>
      </w:r>
      <w:r w:rsidRPr="005242FA">
        <w:rPr>
          <w:rFonts w:ascii="Arial" w:hAnsi="Arial" w:cs="Arial"/>
          <w:sz w:val="20"/>
          <w:szCs w:val="20"/>
        </w:rPr>
        <w:t>realizowanych jednostek metodycznych</w:t>
      </w:r>
      <w:r>
        <w:rPr>
          <w:rFonts w:ascii="Arial" w:hAnsi="Arial" w:cs="Arial"/>
          <w:sz w:val="20"/>
          <w:szCs w:val="20"/>
        </w:rPr>
        <w:t>,</w:t>
      </w:r>
    </w:p>
    <w:p w:rsidR="00283082" w:rsidRPr="00CB1425" w:rsidRDefault="00283082" w:rsidP="00283082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wyposażenie umożliwiające praktyczną realizacje </w:t>
      </w:r>
      <w:r w:rsidRPr="005242FA">
        <w:rPr>
          <w:rFonts w:ascii="Arial" w:hAnsi="Arial" w:cs="Arial"/>
          <w:sz w:val="20"/>
          <w:szCs w:val="20"/>
        </w:rPr>
        <w:t>realizowanych jednostek metodycznych.</w:t>
      </w:r>
    </w:p>
    <w:p w:rsidR="00283082" w:rsidRDefault="00283082" w:rsidP="00283082">
      <w:pPr>
        <w:pStyle w:val="tabelapunktowanieok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283082" w:rsidRPr="005242FA" w:rsidRDefault="00283082" w:rsidP="00283082">
      <w:pPr>
        <w:pStyle w:val="tabelapunktowanieok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5242FA">
        <w:rPr>
          <w:rFonts w:ascii="Arial" w:hAnsi="Arial" w:cs="Arial"/>
          <w:sz w:val="20"/>
          <w:szCs w:val="20"/>
        </w:rPr>
        <w:t xml:space="preserve">Zajęcia powinny być prowadzone z wykorzystaniem różnych form organizacyjnych, indywidualnie i zespołowo. Grupy wykonujących poszczególne ćwiczenia powinny wynosić </w:t>
      </w:r>
      <w:r>
        <w:rPr>
          <w:rFonts w:ascii="Arial" w:hAnsi="Arial" w:cs="Arial"/>
          <w:sz w:val="20"/>
          <w:szCs w:val="20"/>
        </w:rPr>
        <w:t>do 2 osób.</w:t>
      </w:r>
      <w:r w:rsidRPr="005242FA">
        <w:rPr>
          <w:rFonts w:ascii="Arial" w:hAnsi="Arial" w:cs="Arial"/>
          <w:sz w:val="20"/>
          <w:szCs w:val="20"/>
        </w:rPr>
        <w:t xml:space="preserve"> W pracowni powinny być zorganizowane stanowiska robocze do realizacji poszczególnych zadań. Zadaniem zajęć praktycznych prowadzonych w pracowni powinno być przejście przez poszczególne grupy pełnego cyklu przygotowanych zadań praktycznych. Istotną kwestią jest zapewnienie indywidualizacji pracy w kier</w:t>
      </w:r>
      <w:r>
        <w:rPr>
          <w:rFonts w:ascii="Arial" w:hAnsi="Arial" w:cs="Arial"/>
          <w:sz w:val="20"/>
          <w:szCs w:val="20"/>
        </w:rPr>
        <w:t>unku potrzeb i możliwości uczestnika kursu</w:t>
      </w:r>
      <w:r w:rsidRPr="005242FA">
        <w:rPr>
          <w:rFonts w:ascii="Arial" w:hAnsi="Arial" w:cs="Arial"/>
          <w:sz w:val="20"/>
          <w:szCs w:val="20"/>
        </w:rPr>
        <w:t>.</w:t>
      </w:r>
    </w:p>
    <w:p w:rsidR="00283082" w:rsidRPr="00FF1BDD" w:rsidRDefault="00283082" w:rsidP="00283082">
      <w:pPr>
        <w:autoSpaceDE w:val="0"/>
        <w:autoSpaceDN w:val="0"/>
        <w:adjustRightInd w:val="0"/>
        <w:spacing w:after="4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283082" w:rsidRDefault="00283082" w:rsidP="00283082">
      <w:pPr>
        <w:autoSpaceDE w:val="0"/>
        <w:autoSpaceDN w:val="0"/>
        <w:adjustRightInd w:val="0"/>
        <w:spacing w:after="4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283082" w:rsidRDefault="00283082" w:rsidP="00283082">
      <w:pPr>
        <w:autoSpaceDE w:val="0"/>
        <w:autoSpaceDN w:val="0"/>
        <w:adjustRightInd w:val="0"/>
        <w:spacing w:after="4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283082" w:rsidRDefault="00283082" w:rsidP="00283082">
      <w:pPr>
        <w:autoSpaceDE w:val="0"/>
        <w:autoSpaceDN w:val="0"/>
        <w:adjustRightInd w:val="0"/>
        <w:spacing w:after="4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283082" w:rsidRPr="00FF1BDD" w:rsidRDefault="00283082" w:rsidP="00283082">
      <w:pPr>
        <w:pStyle w:val="Nagwek3"/>
        <w:rPr>
          <w:rFonts w:eastAsia="Calibri"/>
        </w:rPr>
      </w:pPr>
      <w:bookmarkStart w:id="2" w:name="_Toc147047348"/>
      <w:bookmarkStart w:id="3" w:name="_GoBack"/>
      <w:bookmarkEnd w:id="3"/>
      <w:r w:rsidRPr="00FF1BDD">
        <w:rPr>
          <w:rFonts w:eastAsia="Calibri"/>
        </w:rPr>
        <w:lastRenderedPageBreak/>
        <w:t>Proponowane metody sprawdzania osiągnięć edukacyjnych słuchacza/uczestnika</w:t>
      </w:r>
      <w:bookmarkEnd w:id="2"/>
    </w:p>
    <w:p w:rsidR="00283082" w:rsidRPr="005B66DE" w:rsidRDefault="00283082" w:rsidP="00283082">
      <w:pPr>
        <w:autoSpaceDE w:val="0"/>
        <w:autoSpaceDN w:val="0"/>
        <w:adjustRightInd w:val="0"/>
        <w:spacing w:after="4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283082" w:rsidRDefault="00283082" w:rsidP="00283082">
      <w:pPr>
        <w:pStyle w:val="nag3"/>
        <w:spacing w:line="240" w:lineRule="auto"/>
        <w:jc w:val="both"/>
        <w:rPr>
          <w:b w:val="0"/>
          <w:sz w:val="20"/>
        </w:rPr>
      </w:pPr>
      <w:r w:rsidRPr="005B66DE">
        <w:rPr>
          <w:b w:val="0"/>
          <w:sz w:val="20"/>
        </w:rPr>
        <w:t xml:space="preserve">Sprawdzanie opanowania przez słuchacza/uczestnika wymagań programowych będzie przeprowadzone na podstawie wykonanych ćwiczeń. W ocenie należy uwzględnić następujące kryteria ogólne: zawartość merytoryczną ćwiczeń, ich poprawność, formy przedstawienia. Sprawdzanie osiągnięć powinno odbywać się przez cały okres realizacji programu zajęć na podstawie kryteriów przedstawionych na początku kursu. </w:t>
      </w:r>
    </w:p>
    <w:p w:rsidR="00283082" w:rsidRDefault="00283082" w:rsidP="00283082">
      <w:pPr>
        <w:pStyle w:val="nag3"/>
        <w:spacing w:line="240" w:lineRule="auto"/>
        <w:jc w:val="both"/>
        <w:rPr>
          <w:rFonts w:cs="Arial"/>
          <w:b w:val="0"/>
          <w:sz w:val="20"/>
        </w:rPr>
      </w:pPr>
      <w:r w:rsidRPr="00CB1425">
        <w:rPr>
          <w:rFonts w:cs="Arial"/>
          <w:b w:val="0"/>
          <w:sz w:val="20"/>
        </w:rPr>
        <w:t xml:space="preserve">Sprawdzanie opanowania przez </w:t>
      </w:r>
      <w:r>
        <w:rPr>
          <w:rFonts w:cs="Arial"/>
          <w:b w:val="0"/>
          <w:sz w:val="20"/>
        </w:rPr>
        <w:t>uczestników</w:t>
      </w:r>
      <w:r w:rsidRPr="00CB1425">
        <w:rPr>
          <w:rFonts w:cs="Arial"/>
          <w:b w:val="0"/>
          <w:sz w:val="20"/>
        </w:rPr>
        <w:t xml:space="preserve"> wymagań programowych będzie przeprowadzone na podstawie wykonanych ćwiczeń. W ocenie należy uwzględnić następujące kryteria ogólne: zawartość merytoryczną ćwiczeń, ich poprawność, formy przedstawienia. Sprawdzanie osiągnięć </w:t>
      </w:r>
      <w:r>
        <w:rPr>
          <w:rFonts w:cs="Arial"/>
          <w:b w:val="0"/>
          <w:sz w:val="20"/>
        </w:rPr>
        <w:t>uczestników</w:t>
      </w:r>
      <w:r w:rsidRPr="00CB1425">
        <w:rPr>
          <w:rFonts w:cs="Arial"/>
          <w:b w:val="0"/>
          <w:sz w:val="20"/>
        </w:rPr>
        <w:t xml:space="preserve"> powinno odbywać się przez cały okres realizacji programu zajęć na podstawie kryteriów przedstawionych na początku zajęć. Należy stosować obowiązujący system oceniania i skalę ocen. Podczas realizacji programu nauczania należy oceniać osiągnięcia </w:t>
      </w:r>
      <w:r>
        <w:rPr>
          <w:rFonts w:cs="Arial"/>
          <w:b w:val="0"/>
          <w:sz w:val="20"/>
        </w:rPr>
        <w:t>uczestników</w:t>
      </w:r>
      <w:r w:rsidRPr="00CB1425">
        <w:rPr>
          <w:rFonts w:cs="Arial"/>
          <w:b w:val="0"/>
          <w:sz w:val="20"/>
        </w:rPr>
        <w:t xml:space="preserve"> w zakresie wyodrębnionych wymagań programowych. Ocena postępów </w:t>
      </w:r>
      <w:r>
        <w:rPr>
          <w:rFonts w:cs="Arial"/>
          <w:b w:val="0"/>
          <w:sz w:val="20"/>
        </w:rPr>
        <w:t>uczestników</w:t>
      </w:r>
      <w:r w:rsidRPr="00CB1425">
        <w:rPr>
          <w:rFonts w:cs="Arial"/>
          <w:b w:val="0"/>
          <w:sz w:val="20"/>
        </w:rPr>
        <w:t xml:space="preserve"> powinna być dokonywana na podstawie często przeprowadzanych sprawdzianów</w:t>
      </w:r>
      <w:r>
        <w:rPr>
          <w:rFonts w:cs="Arial"/>
          <w:b w:val="0"/>
          <w:sz w:val="20"/>
        </w:rPr>
        <w:t xml:space="preserve"> umiejętności</w:t>
      </w:r>
      <w:r w:rsidRPr="00CB1425">
        <w:rPr>
          <w:rFonts w:cs="Arial"/>
          <w:b w:val="0"/>
          <w:sz w:val="20"/>
        </w:rPr>
        <w:t xml:space="preserve">, odpowiedzi ustnych, wykonania ćwiczeń, obserwacji </w:t>
      </w:r>
      <w:r>
        <w:rPr>
          <w:rFonts w:cs="Arial"/>
          <w:b w:val="0"/>
          <w:sz w:val="20"/>
        </w:rPr>
        <w:t>uczestnika kursu</w:t>
      </w:r>
      <w:r w:rsidRPr="00CB1425">
        <w:rPr>
          <w:rFonts w:cs="Arial"/>
          <w:b w:val="0"/>
          <w:sz w:val="20"/>
        </w:rPr>
        <w:t xml:space="preserve"> podczas zajęć. W ocenie końcowej osiągnięć edukacyjnych należy uwzględnić wyniki sprawdzianów oraz poziom wykonania ćwiczeń.</w:t>
      </w:r>
    </w:p>
    <w:p w:rsidR="00283082" w:rsidRDefault="00283082" w:rsidP="003752F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</w:rPr>
      </w:pPr>
    </w:p>
    <w:p w:rsidR="00283082" w:rsidRDefault="00283082" w:rsidP="003752F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</w:rPr>
      </w:pPr>
    </w:p>
    <w:sectPr w:rsidR="00283082" w:rsidSect="003752F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E8" w:rsidRDefault="001F41E8" w:rsidP="00F347A9">
      <w:pPr>
        <w:spacing w:after="0" w:line="240" w:lineRule="auto"/>
      </w:pPr>
      <w:r>
        <w:separator/>
      </w:r>
    </w:p>
  </w:endnote>
  <w:endnote w:type="continuationSeparator" w:id="0">
    <w:p w:rsidR="001F41E8" w:rsidRDefault="001F41E8" w:rsidP="00F3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E8" w:rsidRDefault="001F41E8" w:rsidP="00F347A9">
      <w:pPr>
        <w:spacing w:after="0" w:line="240" w:lineRule="auto"/>
      </w:pPr>
      <w:r>
        <w:separator/>
      </w:r>
    </w:p>
  </w:footnote>
  <w:footnote w:type="continuationSeparator" w:id="0">
    <w:p w:rsidR="001F41E8" w:rsidRDefault="001F41E8" w:rsidP="00F3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A9" w:rsidRPr="00F347A9" w:rsidRDefault="00283082" w:rsidP="00F347A9">
    <w:pPr>
      <w:tabs>
        <w:tab w:val="center" w:pos="4536"/>
        <w:tab w:val="right" w:pos="9072"/>
      </w:tabs>
      <w:jc w:val="center"/>
    </w:pPr>
    <w:r w:rsidRPr="00F347A9">
      <w:rPr>
        <w:noProof/>
      </w:rPr>
      <w:drawing>
        <wp:inline distT="0" distB="0" distL="0" distR="0">
          <wp:extent cx="121158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47A9" w:rsidRPr="00F347A9">
      <w:rPr>
        <w:noProof/>
      </w:rPr>
      <w:t xml:space="preserve">          </w:t>
    </w:r>
    <w:r w:rsidR="00F347A9" w:rsidRPr="00F347A9">
      <w:rPr>
        <w:rFonts w:ascii="Arial" w:hAnsi="Arial" w:cs="Arial"/>
        <w:b/>
        <w:noProof/>
        <w:sz w:val="32"/>
        <w:szCs w:val="32"/>
      </w:rPr>
      <w:t>Centrum Kształcenia Zawodowego i Ustawicznego Nr 2 w Radomiu</w:t>
    </w:r>
  </w:p>
  <w:p w:rsidR="00F347A9" w:rsidRDefault="00F34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B1F"/>
    <w:multiLevelType w:val="hybridMultilevel"/>
    <w:tmpl w:val="B5ACFA32"/>
    <w:lvl w:ilvl="0" w:tplc="0BE249B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F2B24DC4">
      <w:start w:val="1"/>
      <w:numFmt w:val="decimal"/>
      <w:lvlText w:val="%2.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2" w:tplc="F1EC8B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2CB2"/>
    <w:multiLevelType w:val="hybridMultilevel"/>
    <w:tmpl w:val="9492378E"/>
    <w:lvl w:ilvl="0" w:tplc="D8EC755E">
      <w:start w:val="1"/>
      <w:numFmt w:val="bullet"/>
      <w:pStyle w:val="tabelapunktowanieok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cs="Symbol" w:hint="default"/>
      </w:rPr>
    </w:lvl>
    <w:lvl w:ilvl="1" w:tplc="2E609292">
      <w:start w:val="1"/>
      <w:numFmt w:val="none"/>
      <w:lvlText w:val="5.1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 w:tplc="0CA45696">
      <w:start w:val="1"/>
      <w:numFmt w:val="none"/>
      <w:lvlText w:val="4.1."/>
      <w:lvlJc w:val="left"/>
      <w:pPr>
        <w:tabs>
          <w:tab w:val="num" w:pos="1800"/>
        </w:tabs>
        <w:ind w:left="2157" w:hanging="35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5091"/>
    <w:multiLevelType w:val="hybridMultilevel"/>
    <w:tmpl w:val="3586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4E74"/>
    <w:multiLevelType w:val="hybridMultilevel"/>
    <w:tmpl w:val="D6807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61C4"/>
    <w:multiLevelType w:val="hybridMultilevel"/>
    <w:tmpl w:val="1996E1EE"/>
    <w:lvl w:ilvl="0" w:tplc="016853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24ACB"/>
    <w:multiLevelType w:val="hybridMultilevel"/>
    <w:tmpl w:val="6C94E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E27AC"/>
    <w:multiLevelType w:val="hybridMultilevel"/>
    <w:tmpl w:val="6EAC38E2"/>
    <w:lvl w:ilvl="0" w:tplc="F8CEC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1878"/>
    <w:multiLevelType w:val="hybridMultilevel"/>
    <w:tmpl w:val="92D8D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D25F5"/>
    <w:multiLevelType w:val="hybridMultilevel"/>
    <w:tmpl w:val="C1C06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2767A"/>
    <w:multiLevelType w:val="hybridMultilevel"/>
    <w:tmpl w:val="936E872A"/>
    <w:lvl w:ilvl="0" w:tplc="0415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0" w15:restartNumberingAfterBreak="0">
    <w:nsid w:val="655E22FB"/>
    <w:multiLevelType w:val="hybridMultilevel"/>
    <w:tmpl w:val="D03E5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07B75"/>
    <w:multiLevelType w:val="hybridMultilevel"/>
    <w:tmpl w:val="1148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D1297"/>
    <w:multiLevelType w:val="hybridMultilevel"/>
    <w:tmpl w:val="7BCC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A765C"/>
    <w:multiLevelType w:val="hybridMultilevel"/>
    <w:tmpl w:val="03B8F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67830"/>
    <w:multiLevelType w:val="hybridMultilevel"/>
    <w:tmpl w:val="17986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FD"/>
    <w:rsid w:val="00015AE3"/>
    <w:rsid w:val="0017775E"/>
    <w:rsid w:val="001F41E8"/>
    <w:rsid w:val="00283082"/>
    <w:rsid w:val="003752FD"/>
    <w:rsid w:val="00F347A9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9ECC"/>
  <w15:chartTrackingRefBased/>
  <w15:docId w15:val="{44CD81F2-FAE8-46F4-AE9C-2E81CC6D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2FD"/>
    <w:pPr>
      <w:spacing w:after="200" w:line="276" w:lineRule="auto"/>
    </w:pPr>
    <w:rPr>
      <w:rFonts w:eastAsia="MS Minch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47A9"/>
    <w:pPr>
      <w:spacing w:before="200" w:after="0" w:line="300" w:lineRule="auto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30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3752FD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Akapit z listą1,Heding 2,a_Stand,numerowanie"/>
    <w:basedOn w:val="Normalny"/>
    <w:link w:val="AkapitzlistZnak"/>
    <w:uiPriority w:val="34"/>
    <w:qFormat/>
    <w:rsid w:val="003752FD"/>
    <w:pPr>
      <w:ind w:left="720"/>
      <w:contextualSpacing/>
    </w:pPr>
    <w:rPr>
      <w:rFonts w:eastAsia="Calibri"/>
      <w:lang w:eastAsia="en-US"/>
    </w:rPr>
  </w:style>
  <w:style w:type="paragraph" w:customStyle="1" w:styleId="nag3">
    <w:name w:val="nag3"/>
    <w:basedOn w:val="Normalny"/>
    <w:link w:val="nag3Znak"/>
    <w:qFormat/>
    <w:rsid w:val="003752FD"/>
    <w:pPr>
      <w:spacing w:after="0" w:line="288" w:lineRule="auto"/>
    </w:pPr>
    <w:rPr>
      <w:rFonts w:ascii="Arial" w:eastAsia="Calibri" w:hAnsi="Arial"/>
      <w:b/>
      <w:sz w:val="24"/>
      <w:szCs w:val="20"/>
    </w:rPr>
  </w:style>
  <w:style w:type="character" w:customStyle="1" w:styleId="nag3Znak">
    <w:name w:val="nag3 Znak"/>
    <w:link w:val="nag3"/>
    <w:rsid w:val="003752FD"/>
    <w:rPr>
      <w:rFonts w:ascii="Arial" w:eastAsia="Calibri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4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47A9"/>
    <w:rPr>
      <w:rFonts w:eastAsia="MS Minch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34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47A9"/>
    <w:rPr>
      <w:rFonts w:eastAsia="MS Mincho"/>
      <w:sz w:val="22"/>
      <w:szCs w:val="22"/>
    </w:rPr>
  </w:style>
  <w:style w:type="character" w:customStyle="1" w:styleId="Nagwek2Znak">
    <w:name w:val="Nagłówek 2 Znak"/>
    <w:link w:val="Nagwek2"/>
    <w:uiPriority w:val="9"/>
    <w:rsid w:val="00F347A9"/>
    <w:rPr>
      <w:rFonts w:ascii="Cambria" w:eastAsia="Times New Roman" w:hAnsi="Cambria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308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2830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abelapunktowanieok">
    <w:name w:val="tabela punktowanie ok"/>
    <w:basedOn w:val="Normalny"/>
    <w:rsid w:val="00283082"/>
    <w:pPr>
      <w:numPr>
        <w:numId w:val="9"/>
      </w:numPr>
      <w:spacing w:after="0" w:line="240" w:lineRule="auto"/>
    </w:pPr>
    <w:rPr>
      <w:rFonts w:eastAsia="Calibri" w:cs="Calibr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2116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Madej</dc:creator>
  <cp:keywords/>
  <dc:description/>
  <cp:lastModifiedBy>Tomasz Madej</cp:lastModifiedBy>
  <cp:revision>1</cp:revision>
  <dcterms:created xsi:type="dcterms:W3CDTF">2023-10-01T08:13:00Z</dcterms:created>
  <dcterms:modified xsi:type="dcterms:W3CDTF">2023-10-01T08:16:00Z</dcterms:modified>
</cp:coreProperties>
</file>